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CC98C" w14:textId="77777777" w:rsidR="00EA53A5" w:rsidRPr="009D47F0" w:rsidRDefault="00221861" w:rsidP="00EA53A5">
      <w:pPr>
        <w:ind w:left="0" w:hanging="2"/>
        <w:jc w:val="right"/>
        <w:rPr>
          <w:b/>
          <w:lang w:val="en-US"/>
        </w:rPr>
      </w:pPr>
      <w:r w:rsidRPr="009D47F0">
        <w:rPr>
          <w:b/>
          <w:lang w:val="en-US"/>
        </w:rPr>
        <w:t>Annex 2</w:t>
      </w:r>
    </w:p>
    <w:p w14:paraId="189CD5E1" w14:textId="77777777" w:rsidR="00EA53A5" w:rsidRPr="009D47F0" w:rsidRDefault="00221861" w:rsidP="00EA53A5">
      <w:pPr>
        <w:ind w:left="0" w:hanging="2"/>
        <w:rPr>
          <w:lang w:val="en-US"/>
        </w:rPr>
      </w:pPr>
      <w:r>
        <w:rPr>
          <w:rFonts w:ascii="Minion Pro" w:hAnsi="Minion Pro"/>
          <w:noProof/>
          <w:lang w:val="ru-RU" w:eastAsia="ru-RU"/>
        </w:rPr>
        <w:drawing>
          <wp:anchor distT="0" distB="0" distL="114300" distR="114300" simplePos="0" relativeHeight="251658240" behindDoc="1" locked="1" layoutInCell="1" allowOverlap="1" wp14:anchorId="50E51B5A" wp14:editId="00571DF9">
            <wp:simplePos x="0" y="0"/>
            <wp:positionH relativeFrom="margin">
              <wp:posOffset>0</wp:posOffset>
            </wp:positionH>
            <wp:positionV relativeFrom="page">
              <wp:posOffset>1242695</wp:posOffset>
            </wp:positionV>
            <wp:extent cx="2404983" cy="792000"/>
            <wp:effectExtent l="0" t="0" r="0" b="0"/>
            <wp:wrapNone/>
            <wp:docPr id="4"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descr="Graphical user interface, text,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4983" cy="792000"/>
                    </a:xfrm>
                    <a:prstGeom prst="rect">
                      <a:avLst/>
                    </a:prstGeom>
                  </pic:spPr>
                </pic:pic>
              </a:graphicData>
            </a:graphic>
            <wp14:sizeRelH relativeFrom="margin">
              <wp14:pctWidth>0</wp14:pctWidth>
            </wp14:sizeRelH>
            <wp14:sizeRelV relativeFrom="margin">
              <wp14:pctHeight>0</wp14:pctHeight>
            </wp14:sizeRelV>
          </wp:anchor>
        </w:drawing>
      </w:r>
    </w:p>
    <w:p w14:paraId="53C5E04B" w14:textId="77777777" w:rsidR="00EA53A5" w:rsidRPr="009D47F0" w:rsidRDefault="00EA53A5" w:rsidP="00EA53A5">
      <w:pPr>
        <w:ind w:left="0" w:hanging="2"/>
        <w:rPr>
          <w:lang w:val="en-US"/>
        </w:rPr>
      </w:pPr>
    </w:p>
    <w:p w14:paraId="693A88FE" w14:textId="77777777" w:rsidR="00EA53A5" w:rsidRPr="009D47F0" w:rsidRDefault="00EA53A5" w:rsidP="00EA53A5">
      <w:pPr>
        <w:ind w:left="0" w:hanging="2"/>
        <w:jc w:val="center"/>
        <w:rPr>
          <w:b/>
          <w:lang w:val="en-US"/>
        </w:rPr>
      </w:pPr>
    </w:p>
    <w:p w14:paraId="05A659C2" w14:textId="77777777" w:rsidR="00EA53A5" w:rsidRDefault="00EA53A5" w:rsidP="00EA53A5">
      <w:pPr>
        <w:ind w:left="0" w:hanging="2"/>
        <w:jc w:val="center"/>
        <w:rPr>
          <w:b/>
          <w:lang w:val="en-US"/>
        </w:rPr>
      </w:pPr>
    </w:p>
    <w:p w14:paraId="59CE2704" w14:textId="77777777" w:rsidR="00EA53A5" w:rsidRDefault="00EA53A5" w:rsidP="00EA53A5">
      <w:pPr>
        <w:ind w:left="0" w:hanging="2"/>
        <w:jc w:val="center"/>
        <w:rPr>
          <w:b/>
          <w:lang w:val="en-US"/>
        </w:rPr>
      </w:pPr>
    </w:p>
    <w:p w14:paraId="54BB9F7D" w14:textId="77777777" w:rsidR="00EA53A5" w:rsidRDefault="00EA53A5" w:rsidP="00EA53A5">
      <w:pPr>
        <w:ind w:left="0" w:hanging="2"/>
        <w:jc w:val="center"/>
        <w:rPr>
          <w:b/>
          <w:lang w:val="en-US"/>
        </w:rPr>
      </w:pPr>
    </w:p>
    <w:p w14:paraId="3CE272D9" w14:textId="77777777" w:rsidR="00EA53A5" w:rsidRDefault="00EA53A5" w:rsidP="00EA53A5">
      <w:pPr>
        <w:ind w:left="0" w:hanging="2"/>
        <w:jc w:val="center"/>
        <w:rPr>
          <w:b/>
          <w:lang w:val="en-US"/>
        </w:rPr>
      </w:pPr>
    </w:p>
    <w:p w14:paraId="565CD303" w14:textId="77777777" w:rsidR="00EA53A5" w:rsidRPr="009D47F0" w:rsidRDefault="00221861" w:rsidP="00EA53A5">
      <w:pPr>
        <w:ind w:left="0" w:hanging="2"/>
        <w:jc w:val="center"/>
        <w:rPr>
          <w:b/>
          <w:lang w:val="en-US"/>
        </w:rPr>
      </w:pPr>
      <w:r w:rsidRPr="009D47F0">
        <w:rPr>
          <w:b/>
          <w:lang w:val="en-US"/>
        </w:rPr>
        <w:t>Description of the Object</w:t>
      </w:r>
    </w:p>
    <w:p w14:paraId="4217EE4F" w14:textId="77777777" w:rsidR="00EA53A5" w:rsidRPr="009D47F0" w:rsidRDefault="00EA53A5" w:rsidP="00EA53A5">
      <w:pPr>
        <w:ind w:left="0" w:hanging="2"/>
        <w:jc w:val="center"/>
        <w:rPr>
          <w:b/>
          <w:lang w:val="en-US"/>
        </w:rPr>
      </w:pPr>
    </w:p>
    <w:p w14:paraId="2B1E2CD5" w14:textId="77777777" w:rsidR="00EA53A5" w:rsidRPr="009D47F0" w:rsidRDefault="00221861" w:rsidP="00EA53A5">
      <w:pPr>
        <w:ind w:left="0" w:hanging="2"/>
        <w:jc w:val="both"/>
        <w:rPr>
          <w:b/>
          <w:lang w:val="en-US"/>
        </w:rPr>
      </w:pPr>
      <w:r w:rsidRPr="009D47F0">
        <w:rPr>
          <w:b/>
          <w:lang w:val="en-US"/>
        </w:rPr>
        <w:t xml:space="preserve">AUCTION: </w:t>
      </w:r>
      <w:r w:rsidRPr="009D47F0">
        <w:rPr>
          <w:lang w:val="en-US"/>
        </w:rPr>
        <w:t>The commercial use (</w:t>
      </w:r>
      <w:r w:rsidRPr="009D47F0">
        <w:rPr>
          <w:shd w:val="clear" w:color="auto" w:fill="FFFFFF"/>
          <w:lang w:val="en-US"/>
        </w:rPr>
        <w:t>commercialization)</w:t>
      </w:r>
      <w:r w:rsidRPr="009D47F0">
        <w:rPr>
          <w:lang w:val="en-US"/>
        </w:rPr>
        <w:t xml:space="preserve"> of intellectual property resulting from research at the University of Latvia (LU) takes place according to Article 39.</w:t>
      </w:r>
      <w:r w:rsidRPr="009D47F0">
        <w:rPr>
          <w:vertAlign w:val="superscript"/>
          <w:lang w:val="en-US"/>
        </w:rPr>
        <w:t>5</w:t>
      </w:r>
      <w:r w:rsidRPr="009D47F0">
        <w:rPr>
          <w:lang w:val="en-US"/>
        </w:rPr>
        <w:t xml:space="preserve"> of the Law on Scientific Activity.</w:t>
      </w:r>
    </w:p>
    <w:p w14:paraId="3FAAC2F1" w14:textId="77777777" w:rsidR="00EA53A5" w:rsidRDefault="00221861" w:rsidP="00EA53A5">
      <w:pPr>
        <w:ind w:left="0" w:hanging="2"/>
        <w:jc w:val="both"/>
        <w:rPr>
          <w:lang w:val="en-US"/>
        </w:rPr>
      </w:pPr>
      <w:r w:rsidRPr="009D47F0">
        <w:rPr>
          <w:lang w:val="en-US"/>
        </w:rPr>
        <w:t xml:space="preserve">The LU announces a written auction of intellectual property consisting of one know-how “Data-driven </w:t>
      </w:r>
      <w:r w:rsidRPr="009D47F0">
        <w:rPr>
          <w:lang w:val="en-US"/>
        </w:rPr>
        <w:t>infrastructure (Data Lake) providing data and interface solutions for data registration, processing and analysis. The infrastructure is designed as a template that can be installed on a Microsoft Azure cloud service environment for the implementation of sp</w:t>
      </w:r>
      <w:r w:rsidRPr="009D47F0">
        <w:rPr>
          <w:lang w:val="en-US"/>
        </w:rPr>
        <w:t>ecific projects”.</w:t>
      </w:r>
    </w:p>
    <w:p w14:paraId="1505700B" w14:textId="77777777" w:rsidR="00EA53A5" w:rsidRPr="009D47F0" w:rsidRDefault="00EA53A5" w:rsidP="00EA53A5">
      <w:pPr>
        <w:ind w:left="0" w:hanging="2"/>
        <w:jc w:val="both"/>
        <w:rPr>
          <w:bCs/>
          <w:lang w:val="en-US"/>
        </w:rPr>
      </w:pPr>
    </w:p>
    <w:p w14:paraId="0CA81D55" w14:textId="77777777" w:rsidR="00EA53A5" w:rsidRPr="009D47F0" w:rsidRDefault="00221861" w:rsidP="00EA53A5">
      <w:pPr>
        <w:ind w:left="0" w:hanging="2"/>
        <w:jc w:val="both"/>
        <w:rPr>
          <w:b/>
          <w:lang w:val="en-US"/>
        </w:rPr>
      </w:pPr>
      <w:r w:rsidRPr="009D47F0">
        <w:rPr>
          <w:b/>
          <w:lang w:val="en-US"/>
        </w:rPr>
        <w:t>OVERVIEW OF THE INVENTION</w:t>
      </w:r>
    </w:p>
    <w:p w14:paraId="2879F65C" w14:textId="77777777" w:rsidR="00EA53A5" w:rsidRPr="009D47F0" w:rsidRDefault="00221861" w:rsidP="00EA53A5">
      <w:pPr>
        <w:ind w:left="0" w:hanging="2"/>
        <w:jc w:val="both"/>
        <w:rPr>
          <w:lang w:val="en-US"/>
        </w:rPr>
      </w:pPr>
      <w:r w:rsidRPr="009D47F0">
        <w:rPr>
          <w:b/>
          <w:bCs/>
          <w:lang w:val="en-US"/>
        </w:rPr>
        <w:t>Object of the auction</w:t>
      </w:r>
      <w:r w:rsidRPr="009D47F0">
        <w:rPr>
          <w:lang w:val="en-US"/>
        </w:rPr>
        <w:t>: consists of a know-how developed under Project No. KC-PI-2017/102 “Development of cancer forecasting infrastructure based on genome and health data” (LU registration number ESS2018/280). T</w:t>
      </w:r>
      <w:r w:rsidRPr="009D47F0">
        <w:rPr>
          <w:lang w:val="en-US"/>
        </w:rPr>
        <w:t xml:space="preserve">he intellectual property is intended for the use of data-driven infrastructure. </w:t>
      </w:r>
    </w:p>
    <w:p w14:paraId="69ECEEE7" w14:textId="77777777" w:rsidR="00EA53A5" w:rsidRPr="009D47F0" w:rsidRDefault="00221861" w:rsidP="00EA53A5">
      <w:pPr>
        <w:ind w:left="0" w:hanging="2"/>
        <w:jc w:val="both"/>
        <w:rPr>
          <w:lang w:val="en-US"/>
        </w:rPr>
      </w:pPr>
      <w:r w:rsidRPr="009D47F0">
        <w:rPr>
          <w:lang w:val="en-US"/>
        </w:rPr>
        <w:t xml:space="preserve">The description of the know-how includes novel and unpublished methods, scenarios and schemes for a cloud-based data lake. The know-how contains detailed descriptions, schemes, drawings and program codes for the data-driven infrastructure. </w:t>
      </w:r>
    </w:p>
    <w:p w14:paraId="4195F8B2" w14:textId="77777777" w:rsidR="00EA53A5" w:rsidRPr="009D47F0" w:rsidRDefault="00221861" w:rsidP="00EA53A5">
      <w:pPr>
        <w:ind w:left="0" w:hanging="2"/>
        <w:jc w:val="both"/>
        <w:rPr>
          <w:lang w:val="en-US"/>
        </w:rPr>
      </w:pPr>
      <w:r w:rsidRPr="009D47F0">
        <w:rPr>
          <w:lang w:val="en-US"/>
        </w:rPr>
        <w:t>More detailed i</w:t>
      </w:r>
      <w:r w:rsidRPr="009D47F0">
        <w:rPr>
          <w:lang w:val="en-US"/>
        </w:rPr>
        <w:t xml:space="preserve">nformation on the invention and the initial </w:t>
      </w:r>
      <w:proofErr w:type="spellStart"/>
      <w:r w:rsidRPr="009D47F0">
        <w:rPr>
          <w:lang w:val="en-US"/>
        </w:rPr>
        <w:t>commercialisation</w:t>
      </w:r>
      <w:proofErr w:type="spellEnd"/>
      <w:r w:rsidRPr="009D47F0">
        <w:rPr>
          <w:lang w:val="en-US"/>
        </w:rPr>
        <w:t xml:space="preserve"> strategy can be provided by the Project Manager: Signe </w:t>
      </w:r>
      <w:proofErr w:type="spellStart"/>
      <w:r w:rsidRPr="009D47F0">
        <w:rPr>
          <w:lang w:val="en-US"/>
        </w:rPr>
        <w:t>Bāliņa</w:t>
      </w:r>
      <w:proofErr w:type="spellEnd"/>
      <w:r w:rsidRPr="009D47F0">
        <w:rPr>
          <w:lang w:val="en-US"/>
        </w:rPr>
        <w:t xml:space="preserve">, </w:t>
      </w:r>
      <w:hyperlink r:id="rId6" w:history="1">
        <w:r w:rsidRPr="009D47F0">
          <w:rPr>
            <w:rStyle w:val="Hyperlink"/>
            <w:lang w:val="en-US"/>
          </w:rPr>
          <w:t>signe.balina@lu.lv</w:t>
        </w:r>
      </w:hyperlink>
      <w:r w:rsidRPr="009D47F0">
        <w:rPr>
          <w:lang w:val="en-US"/>
        </w:rPr>
        <w:t xml:space="preserve">. </w:t>
      </w:r>
    </w:p>
    <w:p w14:paraId="3172AA45" w14:textId="77777777" w:rsidR="00EA53A5" w:rsidRPr="009D47F0" w:rsidRDefault="00221861" w:rsidP="00EA53A5">
      <w:pPr>
        <w:pStyle w:val="ListParagraph"/>
        <w:numPr>
          <w:ilvl w:val="0"/>
          <w:numId w:val="1"/>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 xml:space="preserve">Price range: according to the applicant's offer; </w:t>
      </w:r>
    </w:p>
    <w:p w14:paraId="16FAD83C" w14:textId="77777777" w:rsidR="00EA53A5" w:rsidRPr="009D47F0" w:rsidRDefault="00221861" w:rsidP="00EA53A5">
      <w:pPr>
        <w:pStyle w:val="ListParagraph"/>
        <w:numPr>
          <w:ilvl w:val="0"/>
          <w:numId w:val="1"/>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Keywords: cloud se</w:t>
      </w:r>
      <w:r w:rsidRPr="009D47F0">
        <w:rPr>
          <w:rFonts w:ascii="Times New Roman" w:hAnsi="Times New Roman"/>
          <w:sz w:val="24"/>
          <w:lang w:val="en-US"/>
        </w:rPr>
        <w:t>rvices, data lake, data-driven infrastructure;</w:t>
      </w:r>
    </w:p>
    <w:p w14:paraId="30462DFF" w14:textId="77777777" w:rsidR="00EA53A5" w:rsidRPr="009D47F0" w:rsidRDefault="00221861" w:rsidP="00EA53A5">
      <w:pPr>
        <w:pStyle w:val="ListParagraph"/>
        <w:numPr>
          <w:ilvl w:val="0"/>
          <w:numId w:val="1"/>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The study was carried out by: Innovation Center of the University of Latvia;</w:t>
      </w:r>
    </w:p>
    <w:p w14:paraId="0F5F4BF5" w14:textId="77777777" w:rsidR="00EA53A5" w:rsidRPr="00E05ADA" w:rsidRDefault="00221861" w:rsidP="00EA53A5">
      <w:pPr>
        <w:pStyle w:val="ListParagraph"/>
        <w:numPr>
          <w:ilvl w:val="0"/>
          <w:numId w:val="1"/>
        </w:numPr>
        <w:spacing w:after="200" w:line="276" w:lineRule="auto"/>
        <w:ind w:left="0" w:hanging="2"/>
        <w:jc w:val="both"/>
        <w:rPr>
          <w:rFonts w:ascii="Times New Roman" w:hAnsi="Times New Roman" w:cs="Times New Roman"/>
          <w:sz w:val="24"/>
          <w:szCs w:val="24"/>
        </w:rPr>
      </w:pPr>
      <w:proofErr w:type="spellStart"/>
      <w:r>
        <w:rPr>
          <w:rFonts w:ascii="Times New Roman" w:hAnsi="Times New Roman"/>
          <w:sz w:val="24"/>
        </w:rPr>
        <w:t>Contact</w:t>
      </w:r>
      <w:proofErr w:type="spellEnd"/>
      <w:r>
        <w:rPr>
          <w:rFonts w:ascii="Times New Roman" w:hAnsi="Times New Roman"/>
          <w:sz w:val="24"/>
        </w:rPr>
        <w:t xml:space="preserve"> </w:t>
      </w:r>
      <w:proofErr w:type="spellStart"/>
      <w:r>
        <w:rPr>
          <w:rFonts w:ascii="Times New Roman" w:hAnsi="Times New Roman"/>
          <w:sz w:val="24"/>
        </w:rPr>
        <w:t>phone</w:t>
      </w:r>
      <w:proofErr w:type="spellEnd"/>
      <w:r>
        <w:rPr>
          <w:rFonts w:ascii="Times New Roman" w:hAnsi="Times New Roman"/>
          <w:sz w:val="24"/>
        </w:rPr>
        <w:t>: +371 29252365 (</w:t>
      </w:r>
      <w:proofErr w:type="spellStart"/>
      <w:r>
        <w:rPr>
          <w:rFonts w:ascii="Times New Roman" w:hAnsi="Times New Roman"/>
          <w:sz w:val="24"/>
        </w:rPr>
        <w:t>Signe</w:t>
      </w:r>
      <w:proofErr w:type="spellEnd"/>
      <w:r>
        <w:rPr>
          <w:rFonts w:ascii="Times New Roman" w:hAnsi="Times New Roman"/>
          <w:sz w:val="24"/>
        </w:rPr>
        <w:t xml:space="preserve"> </w:t>
      </w:r>
      <w:proofErr w:type="spellStart"/>
      <w:r>
        <w:rPr>
          <w:rFonts w:ascii="Times New Roman" w:hAnsi="Times New Roman"/>
          <w:sz w:val="24"/>
        </w:rPr>
        <w:t>Bāliņa</w:t>
      </w:r>
      <w:proofErr w:type="spellEnd"/>
      <w:r>
        <w:rPr>
          <w:rFonts w:ascii="Times New Roman" w:hAnsi="Times New Roman"/>
          <w:sz w:val="24"/>
        </w:rPr>
        <w:t>);</w:t>
      </w:r>
    </w:p>
    <w:p w14:paraId="55F1B1F2" w14:textId="77777777" w:rsidR="00EA53A5" w:rsidRPr="009D47F0" w:rsidRDefault="00221861" w:rsidP="00EA53A5">
      <w:pPr>
        <w:pStyle w:val="ListParagraph"/>
        <w:numPr>
          <w:ilvl w:val="0"/>
          <w:numId w:val="1"/>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 xml:space="preserve">Contact e-mail: </w:t>
      </w:r>
      <w:hyperlink r:id="rId7" w:history="1">
        <w:r w:rsidRPr="009D47F0">
          <w:rPr>
            <w:rStyle w:val="Hyperlink"/>
            <w:rFonts w:ascii="Times New Roman" w:hAnsi="Times New Roman"/>
            <w:sz w:val="24"/>
            <w:lang w:val="en-US"/>
          </w:rPr>
          <w:t>signe.balina@lu.lv</w:t>
        </w:r>
      </w:hyperlink>
      <w:r w:rsidRPr="009D47F0">
        <w:rPr>
          <w:rFonts w:ascii="Times New Roman" w:hAnsi="Times New Roman"/>
          <w:sz w:val="24"/>
          <w:lang w:val="en-US"/>
        </w:rPr>
        <w:t>.</w:t>
      </w:r>
    </w:p>
    <w:p w14:paraId="344476BE" w14:textId="77777777" w:rsidR="00EA53A5" w:rsidRPr="009D47F0" w:rsidRDefault="00221861" w:rsidP="00EA53A5">
      <w:pPr>
        <w:ind w:left="0" w:hanging="2"/>
        <w:jc w:val="both"/>
        <w:rPr>
          <w:b/>
          <w:lang w:val="en-US"/>
        </w:rPr>
      </w:pPr>
      <w:r w:rsidRPr="009D47F0">
        <w:rPr>
          <w:b/>
          <w:lang w:val="en-US"/>
        </w:rPr>
        <w:t>SUMMARY:</w:t>
      </w:r>
    </w:p>
    <w:p w14:paraId="418C2B18" w14:textId="77777777" w:rsidR="00EA53A5" w:rsidRPr="009D47F0" w:rsidRDefault="00221861" w:rsidP="00EA53A5">
      <w:pPr>
        <w:ind w:left="0" w:hanging="2"/>
        <w:jc w:val="both"/>
        <w:rPr>
          <w:lang w:val="en-US"/>
        </w:rPr>
      </w:pPr>
      <w:r w:rsidRPr="009D47F0">
        <w:rPr>
          <w:lang w:val="en-US"/>
        </w:rPr>
        <w:t xml:space="preserve">Data-driven infrastructure (Data Lake) providing data and interface solutions for data registration, processing and analysis has been developed. The infrastructure is designed as a template that can be installed on a Microsoft Azure cloud service </w:t>
      </w:r>
      <w:r w:rsidRPr="009D47F0">
        <w:rPr>
          <w:lang w:val="en-US"/>
        </w:rPr>
        <w:t>environment for the implementation of specific projects. Documentation on the configuration and use of the infrastructure is also provided.</w:t>
      </w:r>
    </w:p>
    <w:p w14:paraId="395E09EA" w14:textId="77777777" w:rsidR="00EA53A5" w:rsidRDefault="00EA53A5" w:rsidP="00EA53A5">
      <w:pPr>
        <w:ind w:left="0" w:hanging="2"/>
        <w:jc w:val="both"/>
        <w:rPr>
          <w:b/>
          <w:lang w:val="en-US"/>
        </w:rPr>
      </w:pPr>
    </w:p>
    <w:p w14:paraId="67AF39CF" w14:textId="77777777" w:rsidR="00EA53A5" w:rsidRPr="009D47F0" w:rsidRDefault="00221861" w:rsidP="00EA53A5">
      <w:pPr>
        <w:ind w:left="0" w:hanging="2"/>
        <w:jc w:val="both"/>
        <w:rPr>
          <w:lang w:val="en-US"/>
        </w:rPr>
      </w:pPr>
      <w:r w:rsidRPr="009D47F0">
        <w:rPr>
          <w:b/>
          <w:lang w:val="en-US"/>
        </w:rPr>
        <w:t xml:space="preserve">PRODUCT OF THE INVENTION: </w:t>
      </w:r>
      <w:r w:rsidRPr="009D47F0">
        <w:rPr>
          <w:lang w:val="en-US"/>
        </w:rPr>
        <w:t>description of data-driven infrastructure for cancer forecasting.</w:t>
      </w:r>
    </w:p>
    <w:p w14:paraId="4849B84E" w14:textId="77777777" w:rsidR="00EA53A5" w:rsidRPr="009D47F0" w:rsidRDefault="00221861" w:rsidP="00EA53A5">
      <w:pPr>
        <w:ind w:left="0" w:hanging="2"/>
        <w:jc w:val="both"/>
        <w:rPr>
          <w:b/>
          <w:lang w:val="en-US"/>
        </w:rPr>
      </w:pPr>
      <w:r w:rsidRPr="009D47F0">
        <w:rPr>
          <w:b/>
          <w:lang w:val="en-US"/>
        </w:rPr>
        <w:t>Brief Description of th</w:t>
      </w:r>
      <w:r w:rsidRPr="009D47F0">
        <w:rPr>
          <w:b/>
          <w:lang w:val="en-US"/>
        </w:rPr>
        <w:t>e Main Components of the IP</w:t>
      </w:r>
    </w:p>
    <w:p w14:paraId="4F3056B6" w14:textId="77777777" w:rsidR="00EA53A5" w:rsidRPr="009D47F0" w:rsidRDefault="00221861" w:rsidP="00EA53A5">
      <w:pPr>
        <w:ind w:left="0" w:hanging="2"/>
        <w:jc w:val="both"/>
        <w:rPr>
          <w:lang w:val="en-US"/>
        </w:rPr>
      </w:pPr>
      <w:r w:rsidRPr="009D47F0">
        <w:rPr>
          <w:lang w:val="en-US"/>
        </w:rPr>
        <w:t xml:space="preserve">The Data Lake solution architecture can be applied in both research and precision medicine and supports the following five cases of use: </w:t>
      </w:r>
    </w:p>
    <w:p w14:paraId="0C7B5DCF" w14:textId="77777777" w:rsidR="00EA53A5" w:rsidRPr="00915D75" w:rsidRDefault="00221861" w:rsidP="00EA53A5">
      <w:pPr>
        <w:pStyle w:val="ListParagraph"/>
        <w:numPr>
          <w:ilvl w:val="0"/>
          <w:numId w:val="4"/>
        </w:numPr>
        <w:spacing w:after="200" w:line="276" w:lineRule="auto"/>
        <w:ind w:left="0" w:hanging="2"/>
        <w:jc w:val="both"/>
        <w:rPr>
          <w:rFonts w:ascii="Times New Roman" w:hAnsi="Times New Roman" w:cs="Times New Roman"/>
          <w:sz w:val="24"/>
          <w:szCs w:val="24"/>
        </w:rPr>
      </w:pPr>
      <w:proofErr w:type="spellStart"/>
      <w:r>
        <w:rPr>
          <w:rFonts w:ascii="Times New Roman" w:hAnsi="Times New Roman"/>
          <w:sz w:val="24"/>
        </w:rPr>
        <w:t>Data</w:t>
      </w:r>
      <w:proofErr w:type="spellEnd"/>
      <w:r>
        <w:rPr>
          <w:rFonts w:ascii="Times New Roman" w:hAnsi="Times New Roman"/>
          <w:sz w:val="24"/>
        </w:rPr>
        <w:t xml:space="preserve"> </w:t>
      </w:r>
      <w:proofErr w:type="spellStart"/>
      <w:r>
        <w:rPr>
          <w:rFonts w:ascii="Times New Roman" w:hAnsi="Times New Roman"/>
          <w:sz w:val="24"/>
        </w:rPr>
        <w:t>extraction</w:t>
      </w:r>
      <w:proofErr w:type="spellEnd"/>
      <w:r>
        <w:rPr>
          <w:rFonts w:ascii="Times New Roman" w:hAnsi="Times New Roman"/>
          <w:sz w:val="24"/>
        </w:rPr>
        <w:t xml:space="preserve">; </w:t>
      </w:r>
    </w:p>
    <w:p w14:paraId="73CA91EE" w14:textId="77777777" w:rsidR="00EA53A5" w:rsidRPr="00915D75" w:rsidRDefault="00221861" w:rsidP="00EA53A5">
      <w:pPr>
        <w:pStyle w:val="ListParagraph"/>
        <w:numPr>
          <w:ilvl w:val="0"/>
          <w:numId w:val="4"/>
        </w:numPr>
        <w:spacing w:after="200" w:line="276" w:lineRule="auto"/>
        <w:ind w:left="0" w:hanging="2"/>
        <w:jc w:val="both"/>
        <w:rPr>
          <w:rFonts w:ascii="Times New Roman" w:hAnsi="Times New Roman" w:cs="Times New Roman"/>
          <w:sz w:val="24"/>
          <w:szCs w:val="24"/>
        </w:rPr>
      </w:pPr>
      <w:proofErr w:type="spellStart"/>
      <w:r>
        <w:rPr>
          <w:rFonts w:ascii="Times New Roman" w:hAnsi="Times New Roman"/>
          <w:sz w:val="24"/>
        </w:rPr>
        <w:t>Data</w:t>
      </w:r>
      <w:proofErr w:type="spellEnd"/>
      <w:r>
        <w:rPr>
          <w:rFonts w:ascii="Times New Roman" w:hAnsi="Times New Roman"/>
          <w:sz w:val="24"/>
        </w:rPr>
        <w:t xml:space="preserve"> </w:t>
      </w:r>
      <w:proofErr w:type="spellStart"/>
      <w:r>
        <w:rPr>
          <w:rFonts w:ascii="Times New Roman" w:hAnsi="Times New Roman"/>
          <w:sz w:val="24"/>
        </w:rPr>
        <w:t>processing</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anonymisation</w:t>
      </w:r>
      <w:proofErr w:type="spellEnd"/>
      <w:r>
        <w:rPr>
          <w:rFonts w:ascii="Times New Roman" w:hAnsi="Times New Roman"/>
          <w:sz w:val="24"/>
        </w:rPr>
        <w:t xml:space="preserve">; </w:t>
      </w:r>
    </w:p>
    <w:p w14:paraId="3D4D5F75" w14:textId="77777777" w:rsidR="00EA53A5" w:rsidRPr="00915D75" w:rsidRDefault="00221861" w:rsidP="00EA53A5">
      <w:pPr>
        <w:pStyle w:val="ListParagraph"/>
        <w:numPr>
          <w:ilvl w:val="0"/>
          <w:numId w:val="4"/>
        </w:numPr>
        <w:spacing w:after="200" w:line="276" w:lineRule="auto"/>
        <w:ind w:left="0" w:hanging="2"/>
        <w:jc w:val="both"/>
        <w:rPr>
          <w:rFonts w:ascii="Times New Roman" w:hAnsi="Times New Roman" w:cs="Times New Roman"/>
          <w:sz w:val="24"/>
          <w:szCs w:val="24"/>
        </w:rPr>
      </w:pPr>
      <w:proofErr w:type="spellStart"/>
      <w:r>
        <w:rPr>
          <w:rFonts w:ascii="Times New Roman" w:hAnsi="Times New Roman"/>
          <w:sz w:val="24"/>
        </w:rPr>
        <w:lastRenderedPageBreak/>
        <w:t>Data</w:t>
      </w:r>
      <w:proofErr w:type="spellEnd"/>
      <w:r>
        <w:rPr>
          <w:rFonts w:ascii="Times New Roman" w:hAnsi="Times New Roman"/>
          <w:sz w:val="24"/>
        </w:rPr>
        <w:t xml:space="preserve"> </w:t>
      </w:r>
      <w:proofErr w:type="spellStart"/>
      <w:r>
        <w:rPr>
          <w:rFonts w:ascii="Times New Roman" w:hAnsi="Times New Roman"/>
          <w:sz w:val="24"/>
        </w:rPr>
        <w:t>analysis</w:t>
      </w:r>
      <w:proofErr w:type="spellEnd"/>
      <w:r>
        <w:rPr>
          <w:rFonts w:ascii="Times New Roman" w:hAnsi="Times New Roman"/>
          <w:sz w:val="24"/>
        </w:rPr>
        <w:t xml:space="preserve">; </w:t>
      </w:r>
    </w:p>
    <w:p w14:paraId="5C53D90E" w14:textId="77777777" w:rsidR="00EA53A5" w:rsidRPr="009D47F0" w:rsidRDefault="00221861" w:rsidP="00EA53A5">
      <w:pPr>
        <w:pStyle w:val="ListParagraph"/>
        <w:numPr>
          <w:ilvl w:val="0"/>
          <w:numId w:val="4"/>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Providing data for r</w:t>
      </w:r>
      <w:r w:rsidRPr="009D47F0">
        <w:rPr>
          <w:rFonts w:ascii="Times New Roman" w:hAnsi="Times New Roman"/>
          <w:sz w:val="24"/>
          <w:lang w:val="en-US"/>
        </w:rPr>
        <w:t xml:space="preserve">esearch and precision medicine. </w:t>
      </w:r>
    </w:p>
    <w:p w14:paraId="17BAC7DA" w14:textId="77777777" w:rsidR="00EA53A5" w:rsidRPr="009D47F0" w:rsidRDefault="00221861" w:rsidP="00EA53A5">
      <w:pPr>
        <w:ind w:left="0" w:hanging="2"/>
        <w:jc w:val="both"/>
        <w:rPr>
          <w:lang w:val="en-US"/>
        </w:rPr>
      </w:pPr>
      <w:r w:rsidRPr="009D47F0">
        <w:rPr>
          <w:lang w:val="en-US"/>
        </w:rPr>
        <w:t xml:space="preserve">Data extraction is implemented by integrating different types of data from different data sources. An adapter model for health data extraction has been developed to extract baseline and follow-up patient data. The </w:t>
      </w:r>
      <w:r w:rsidRPr="009D47F0">
        <w:rPr>
          <w:lang w:val="en-US"/>
        </w:rPr>
        <w:t xml:space="preserve">architecture also allows the development of additional adapter models to enable data extraction from currently unidentified sources. The infrastructure allows for manual data extraction (by uploading data files to the data lake infrastructure), as well as </w:t>
      </w:r>
      <w:r w:rsidRPr="009D47F0">
        <w:rPr>
          <w:lang w:val="en-US"/>
        </w:rPr>
        <w:t>automatic or semi-automatic data extraction using REST services and Logical Application components embedded in the infrastructure to implement different levels of automation. The Azure Blob Storage component is used to store the extracted data.</w:t>
      </w:r>
    </w:p>
    <w:p w14:paraId="7391C0E5" w14:textId="77777777" w:rsidR="00EA53A5" w:rsidRPr="009D47F0" w:rsidRDefault="00221861" w:rsidP="00EA53A5">
      <w:pPr>
        <w:ind w:left="0" w:hanging="2"/>
        <w:jc w:val="both"/>
        <w:rPr>
          <w:lang w:val="en-US"/>
        </w:rPr>
      </w:pPr>
      <w:r w:rsidRPr="009D47F0">
        <w:rPr>
          <w:lang w:val="en-US"/>
        </w:rPr>
        <w:t>Data proces</w:t>
      </w:r>
      <w:r w:rsidRPr="009D47F0">
        <w:rPr>
          <w:lang w:val="en-US"/>
        </w:rPr>
        <w:t xml:space="preserve">sing includes various tasks: data cleaning, cross-referencing, </w:t>
      </w:r>
      <w:proofErr w:type="spellStart"/>
      <w:r w:rsidRPr="009D47F0">
        <w:rPr>
          <w:lang w:val="en-US"/>
        </w:rPr>
        <w:t>anonymisation</w:t>
      </w:r>
      <w:proofErr w:type="spellEnd"/>
      <w:r w:rsidRPr="009D47F0">
        <w:rPr>
          <w:lang w:val="en-US"/>
        </w:rPr>
        <w:t xml:space="preserve"> and storage in different scenarios of data storage, processing and analysis. Depending on the project requirements, all or part of the data processing tasks may be applied. Variou</w:t>
      </w:r>
      <w:r w:rsidRPr="009D47F0">
        <w:rPr>
          <w:lang w:val="en-US"/>
        </w:rPr>
        <w:t xml:space="preserve">s components are offered for the implementation of the tasks: combination of REST services and Logical Applications, SQL database, Azure </w:t>
      </w:r>
      <w:proofErr w:type="spellStart"/>
      <w:r w:rsidRPr="009D47F0">
        <w:rPr>
          <w:lang w:val="en-US"/>
        </w:rPr>
        <w:t>DataBricks</w:t>
      </w:r>
      <w:proofErr w:type="spellEnd"/>
      <w:r w:rsidRPr="009D47F0">
        <w:rPr>
          <w:lang w:val="en-US"/>
        </w:rPr>
        <w:t>. The decision on the use of specific components is made by the users of the infrastructure, according to the</w:t>
      </w:r>
      <w:r w:rsidRPr="009D47F0">
        <w:rPr>
          <w:lang w:val="en-US"/>
        </w:rPr>
        <w:t>ir competences and specific data processing needs.</w:t>
      </w:r>
    </w:p>
    <w:p w14:paraId="39A21511" w14:textId="77777777" w:rsidR="00EA53A5" w:rsidRPr="009D47F0" w:rsidRDefault="00221861" w:rsidP="00EA53A5">
      <w:pPr>
        <w:ind w:left="0" w:hanging="2"/>
        <w:jc w:val="both"/>
        <w:rPr>
          <w:lang w:val="en-US"/>
        </w:rPr>
      </w:pPr>
      <w:r w:rsidRPr="009D47F0">
        <w:rPr>
          <w:lang w:val="en-US"/>
        </w:rPr>
        <w:t xml:space="preserve">Data analysis can be performed using </w:t>
      </w:r>
      <w:proofErr w:type="spellStart"/>
      <w:r w:rsidRPr="009D47F0">
        <w:rPr>
          <w:lang w:val="en-US"/>
        </w:rPr>
        <w:t>specialised</w:t>
      </w:r>
      <w:proofErr w:type="spellEnd"/>
      <w:r w:rsidRPr="009D47F0">
        <w:rPr>
          <w:lang w:val="en-US"/>
        </w:rPr>
        <w:t xml:space="preserve"> components within the data lake infrastructure, such as Machine Learning Studio, Azure Batch and Microsoft Genomics API (for secondary analysis of sequenced</w:t>
      </w:r>
      <w:r w:rsidRPr="009D47F0">
        <w:rPr>
          <w:lang w:val="en-US"/>
        </w:rPr>
        <w:t xml:space="preserve"> genomic data). Also, Hadoop / Spark technologies running on Azure HDInsight clusters and Azure Stream Analytics and Data Lake Analytics can be used for data analysis. Data analysis can also be carried out in collaboration with High Performance Computing (</w:t>
      </w:r>
      <w:r w:rsidRPr="009D47F0">
        <w:rPr>
          <w:lang w:val="en-US"/>
        </w:rPr>
        <w:t xml:space="preserve">HPC) services. </w:t>
      </w:r>
    </w:p>
    <w:p w14:paraId="1A0EFB07" w14:textId="77777777" w:rsidR="00EA53A5" w:rsidRPr="009D47F0" w:rsidRDefault="00221861" w:rsidP="00EA53A5">
      <w:pPr>
        <w:ind w:left="0" w:hanging="2"/>
        <w:jc w:val="both"/>
        <w:rPr>
          <w:lang w:val="en-US"/>
        </w:rPr>
      </w:pPr>
      <w:r w:rsidRPr="009D47F0">
        <w:rPr>
          <w:lang w:val="en-US"/>
        </w:rPr>
        <w:t>Data preparation for research and precision medicine can be provided after processing and analyzing the data recorded in the infrastructure. The resulting output can be shared by providing access to external partners. To provide this functi</w:t>
      </w:r>
      <w:r w:rsidRPr="009D47F0">
        <w:rPr>
          <w:lang w:val="en-US"/>
        </w:rPr>
        <w:t>onality, the sharing feature of the Azure Blob Storage component is used.</w:t>
      </w:r>
    </w:p>
    <w:p w14:paraId="4BC10AD1" w14:textId="77777777" w:rsidR="00EA53A5" w:rsidRPr="009D47F0" w:rsidRDefault="00221861" w:rsidP="00EA53A5">
      <w:pPr>
        <w:ind w:left="0" w:hanging="2"/>
        <w:jc w:val="both"/>
        <w:rPr>
          <w:lang w:val="en-US"/>
        </w:rPr>
      </w:pPr>
      <w:r w:rsidRPr="009D47F0">
        <w:rPr>
          <w:lang w:val="en-US"/>
        </w:rPr>
        <w:t>The data lake infrastructure includes the following core functionality:</w:t>
      </w:r>
    </w:p>
    <w:p w14:paraId="47C8D482" w14:textId="77777777" w:rsidR="00EA53A5" w:rsidRPr="00915D75"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rPr>
      </w:pPr>
      <w:proofErr w:type="spellStart"/>
      <w:r>
        <w:rPr>
          <w:rFonts w:ascii="Times New Roman" w:hAnsi="Times New Roman"/>
          <w:sz w:val="24"/>
        </w:rPr>
        <w:t>authentication</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authorization</w:t>
      </w:r>
      <w:proofErr w:type="spellEnd"/>
      <w:r>
        <w:rPr>
          <w:rFonts w:ascii="Times New Roman" w:hAnsi="Times New Roman"/>
          <w:sz w:val="24"/>
        </w:rPr>
        <w:t>,</w:t>
      </w:r>
    </w:p>
    <w:p w14:paraId="7E8D5E3B"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user management, providing support for multiple user roles,</w:t>
      </w:r>
    </w:p>
    <w:p w14:paraId="106509ED"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the following fu</w:t>
      </w:r>
      <w:r w:rsidRPr="009D47F0">
        <w:rPr>
          <w:rFonts w:ascii="Times New Roman" w:hAnsi="Times New Roman"/>
          <w:sz w:val="24"/>
          <w:lang w:val="en-US"/>
        </w:rPr>
        <w:t>nctionalities can be provided using the SQL component for data processing:</w:t>
      </w:r>
    </w:p>
    <w:p w14:paraId="0F3A92C1"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registration of registered research project data, parameter adjustment and project deactivation,</w:t>
      </w:r>
    </w:p>
    <w:p w14:paraId="551CBECB"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management of registered document types – their registration, parameter adjustment a</w:t>
      </w:r>
      <w:r w:rsidRPr="009D47F0">
        <w:rPr>
          <w:rFonts w:ascii="Times New Roman" w:hAnsi="Times New Roman"/>
          <w:sz w:val="24"/>
          <w:lang w:val="en-US"/>
        </w:rPr>
        <w:t>nd deactivation (the document type provides the option to store information on the format, structure and transformations of the document, allowing the extraction of individual data units from the incoming document),</w:t>
      </w:r>
    </w:p>
    <w:p w14:paraId="4AD052EE"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validation of the registered document us</w:t>
      </w:r>
      <w:r w:rsidRPr="009D47F0">
        <w:rPr>
          <w:rFonts w:ascii="Times New Roman" w:hAnsi="Times New Roman"/>
          <w:sz w:val="24"/>
          <w:lang w:val="en-US"/>
        </w:rPr>
        <w:t>ing the document types registered in the system,</w:t>
      </w:r>
    </w:p>
    <w:p w14:paraId="350A3E7E"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 xml:space="preserve">performing data transformations of registered documents using document type transformation, extracting individual data units and registering the extracted data units in a </w:t>
      </w:r>
      <w:proofErr w:type="spellStart"/>
      <w:r w:rsidRPr="009D47F0">
        <w:rPr>
          <w:rFonts w:ascii="Times New Roman" w:hAnsi="Times New Roman"/>
          <w:sz w:val="24"/>
          <w:lang w:val="en-US"/>
        </w:rPr>
        <w:t>normalised</w:t>
      </w:r>
      <w:proofErr w:type="spellEnd"/>
      <w:r w:rsidRPr="009D47F0">
        <w:rPr>
          <w:rFonts w:ascii="Times New Roman" w:hAnsi="Times New Roman"/>
          <w:sz w:val="24"/>
          <w:lang w:val="en-US"/>
        </w:rPr>
        <w:t xml:space="preserve"> data library,</w:t>
      </w:r>
    </w:p>
    <w:p w14:paraId="650C2CEE"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 xml:space="preserve">registration of </w:t>
      </w:r>
      <w:proofErr w:type="spellStart"/>
      <w:r w:rsidRPr="009D47F0">
        <w:rPr>
          <w:rFonts w:ascii="Times New Roman" w:hAnsi="Times New Roman"/>
          <w:sz w:val="24"/>
          <w:lang w:val="en-US"/>
        </w:rPr>
        <w:t>authorisations</w:t>
      </w:r>
      <w:proofErr w:type="spellEnd"/>
      <w:r w:rsidRPr="009D47F0">
        <w:rPr>
          <w:rFonts w:ascii="Times New Roman" w:hAnsi="Times New Roman"/>
          <w:sz w:val="24"/>
          <w:lang w:val="en-US"/>
        </w:rPr>
        <w:t xml:space="preserve"> for the use of sample data in one or more research projects, adjustment of parameters of existing </w:t>
      </w:r>
      <w:proofErr w:type="spellStart"/>
      <w:r w:rsidRPr="009D47F0">
        <w:rPr>
          <w:rFonts w:ascii="Times New Roman" w:hAnsi="Times New Roman"/>
          <w:sz w:val="24"/>
          <w:lang w:val="en-US"/>
        </w:rPr>
        <w:t>authorisations</w:t>
      </w:r>
      <w:proofErr w:type="spellEnd"/>
      <w:r w:rsidRPr="009D47F0">
        <w:rPr>
          <w:rFonts w:ascii="Times New Roman" w:hAnsi="Times New Roman"/>
          <w:sz w:val="24"/>
          <w:lang w:val="en-US"/>
        </w:rPr>
        <w:t xml:space="preserve"> and closure of existing </w:t>
      </w:r>
      <w:proofErr w:type="spellStart"/>
      <w:r w:rsidRPr="009D47F0">
        <w:rPr>
          <w:rFonts w:ascii="Times New Roman" w:hAnsi="Times New Roman"/>
          <w:sz w:val="24"/>
          <w:lang w:val="en-US"/>
        </w:rPr>
        <w:t>authorisations</w:t>
      </w:r>
      <w:proofErr w:type="spellEnd"/>
      <w:r w:rsidRPr="009D47F0">
        <w:rPr>
          <w:rFonts w:ascii="Times New Roman" w:hAnsi="Times New Roman"/>
          <w:sz w:val="24"/>
          <w:lang w:val="en-US"/>
        </w:rPr>
        <w:t>,</w:t>
      </w:r>
    </w:p>
    <w:p w14:paraId="1F249967"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 xml:space="preserve">a dedicated data library for the storage of </w:t>
      </w:r>
      <w:proofErr w:type="spellStart"/>
      <w:r w:rsidRPr="009D47F0">
        <w:rPr>
          <w:rFonts w:ascii="Times New Roman" w:hAnsi="Times New Roman"/>
          <w:sz w:val="24"/>
          <w:lang w:val="en-US"/>
        </w:rPr>
        <w:t>normalised</w:t>
      </w:r>
      <w:proofErr w:type="spellEnd"/>
      <w:r w:rsidRPr="009D47F0">
        <w:rPr>
          <w:rFonts w:ascii="Times New Roman" w:hAnsi="Times New Roman"/>
          <w:sz w:val="24"/>
          <w:lang w:val="en-US"/>
        </w:rPr>
        <w:t xml:space="preserve"> sample data, allo</w:t>
      </w:r>
      <w:r w:rsidRPr="009D47F0">
        <w:rPr>
          <w:rFonts w:ascii="Times New Roman" w:hAnsi="Times New Roman"/>
          <w:sz w:val="24"/>
          <w:lang w:val="en-US"/>
        </w:rPr>
        <w:t>wing the addition of new data units to the sample data, the adjustment of values of existing data units and the change (deletion) of the status of data units,</w:t>
      </w:r>
    </w:p>
    <w:p w14:paraId="5A1DD052"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lastRenderedPageBreak/>
        <w:t xml:space="preserve">as an alternative to the SQL component for data processing is the </w:t>
      </w:r>
      <w:proofErr w:type="spellStart"/>
      <w:r w:rsidRPr="009D47F0">
        <w:rPr>
          <w:rFonts w:ascii="Times New Roman" w:hAnsi="Times New Roman"/>
          <w:sz w:val="24"/>
          <w:lang w:val="en-US"/>
        </w:rPr>
        <w:t>DataBricks</w:t>
      </w:r>
      <w:proofErr w:type="spellEnd"/>
      <w:r w:rsidRPr="009D47F0">
        <w:rPr>
          <w:rFonts w:ascii="Times New Roman" w:hAnsi="Times New Roman"/>
          <w:sz w:val="24"/>
          <w:lang w:val="en-US"/>
        </w:rPr>
        <w:t xml:space="preserve"> component that allow</w:t>
      </w:r>
      <w:r w:rsidRPr="009D47F0">
        <w:rPr>
          <w:rFonts w:ascii="Times New Roman" w:hAnsi="Times New Roman"/>
          <w:sz w:val="24"/>
          <w:lang w:val="en-US"/>
        </w:rPr>
        <w:t>s:</w:t>
      </w:r>
    </w:p>
    <w:p w14:paraId="44CDB3B4"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 xml:space="preserve">high-performance workflows can be created using different languages: python, </w:t>
      </w:r>
      <w:proofErr w:type="spellStart"/>
      <w:r w:rsidRPr="009D47F0">
        <w:rPr>
          <w:rFonts w:ascii="Times New Roman" w:hAnsi="Times New Roman"/>
          <w:sz w:val="24"/>
          <w:lang w:val="en-US"/>
        </w:rPr>
        <w:t>scala</w:t>
      </w:r>
      <w:proofErr w:type="spellEnd"/>
      <w:r w:rsidRPr="009D47F0">
        <w:rPr>
          <w:rFonts w:ascii="Times New Roman" w:hAnsi="Times New Roman"/>
          <w:sz w:val="24"/>
          <w:lang w:val="en-US"/>
        </w:rPr>
        <w:t>, R,</w:t>
      </w:r>
    </w:p>
    <w:p w14:paraId="2273D908"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access to data stored in the Azure Blob Storage component,</w:t>
      </w:r>
    </w:p>
    <w:p w14:paraId="5159DD2D"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perform the necessary data processing,</w:t>
      </w:r>
    </w:p>
    <w:p w14:paraId="7F86D5F2"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placing the processed data back into the Azure Blob Storage componen</w:t>
      </w:r>
      <w:r w:rsidRPr="009D47F0">
        <w:rPr>
          <w:rFonts w:ascii="Times New Roman" w:hAnsi="Times New Roman"/>
          <w:sz w:val="24"/>
          <w:lang w:val="en-US"/>
        </w:rPr>
        <w:t>t,</w:t>
      </w:r>
    </w:p>
    <w:p w14:paraId="72CA9381"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registration of the genetic sequencing result file of the tissue sample, secondary analysis of the sequencing result file using Microsoft Genomics services,</w:t>
      </w:r>
    </w:p>
    <w:p w14:paraId="6089BFF6"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support tool for importing data from Excel, performing the necessary operations for generating d</w:t>
      </w:r>
      <w:r w:rsidRPr="009D47F0">
        <w:rPr>
          <w:rFonts w:ascii="Times New Roman" w:hAnsi="Times New Roman"/>
          <w:sz w:val="24"/>
          <w:lang w:val="en-US"/>
        </w:rPr>
        <w:t>ocument templates, as well as for generating documents (individual records)</w:t>
      </w:r>
    </w:p>
    <w:p w14:paraId="1F962333"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 xml:space="preserve">extended support for secondary analysis of genetic material using Azure </w:t>
      </w:r>
      <w:proofErr w:type="spellStart"/>
      <w:r w:rsidRPr="009D47F0">
        <w:rPr>
          <w:rFonts w:ascii="Times New Roman" w:hAnsi="Times New Roman"/>
          <w:sz w:val="24"/>
          <w:lang w:val="en-US"/>
        </w:rPr>
        <w:t>DataBricks</w:t>
      </w:r>
      <w:proofErr w:type="spellEnd"/>
      <w:r w:rsidRPr="009D47F0">
        <w:rPr>
          <w:rFonts w:ascii="Times New Roman" w:hAnsi="Times New Roman"/>
          <w:sz w:val="24"/>
          <w:lang w:val="en-US"/>
        </w:rPr>
        <w:t xml:space="preserve"> and Cromwell,</w:t>
      </w:r>
    </w:p>
    <w:p w14:paraId="5DD12568"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integration of Azure Machine Learning Studio into the data lake,</w:t>
      </w:r>
    </w:p>
    <w:p w14:paraId="3B94E45E"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monitoring and tra</w:t>
      </w:r>
      <w:r w:rsidRPr="009D47F0">
        <w:rPr>
          <w:rFonts w:ascii="Times New Roman" w:hAnsi="Times New Roman"/>
          <w:sz w:val="24"/>
          <w:lang w:val="en-US"/>
        </w:rPr>
        <w:t>nsport of research data stored in an external data source and accessible via REST services (e.g. HPC data library),</w:t>
      </w:r>
    </w:p>
    <w:p w14:paraId="5A09BEF7"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monitoring and describing research data stored in an external data source and linked to the Galaxy server,</w:t>
      </w:r>
    </w:p>
    <w:p w14:paraId="42EFFB3F" w14:textId="77777777" w:rsidR="00EA53A5" w:rsidRPr="009D47F0"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lang w:val="en-US"/>
        </w:rPr>
      </w:pPr>
      <w:r w:rsidRPr="009D47F0">
        <w:rPr>
          <w:rFonts w:ascii="Times New Roman" w:hAnsi="Times New Roman"/>
          <w:sz w:val="24"/>
          <w:lang w:val="en-US"/>
        </w:rPr>
        <w:t>generation of data (metadata) cha</w:t>
      </w:r>
      <w:r w:rsidRPr="009D47F0">
        <w:rPr>
          <w:rFonts w:ascii="Times New Roman" w:hAnsi="Times New Roman"/>
          <w:sz w:val="24"/>
          <w:lang w:val="en-US"/>
        </w:rPr>
        <w:t>racterizing the data set,</w:t>
      </w:r>
    </w:p>
    <w:p w14:paraId="0B8680D9" w14:textId="77777777" w:rsidR="00EA53A5" w:rsidRPr="00915D75" w:rsidRDefault="00221861" w:rsidP="00EA53A5">
      <w:pPr>
        <w:pStyle w:val="ListParagraph"/>
        <w:numPr>
          <w:ilvl w:val="0"/>
          <w:numId w:val="3"/>
        </w:numPr>
        <w:spacing w:after="200" w:line="276" w:lineRule="auto"/>
        <w:ind w:left="0" w:hanging="2"/>
        <w:jc w:val="both"/>
        <w:rPr>
          <w:rFonts w:ascii="Times New Roman" w:hAnsi="Times New Roman" w:cs="Times New Roman"/>
          <w:sz w:val="24"/>
          <w:szCs w:val="24"/>
        </w:rPr>
      </w:pPr>
      <w:proofErr w:type="spellStart"/>
      <w:r>
        <w:rPr>
          <w:rFonts w:ascii="Times New Roman" w:hAnsi="Times New Roman"/>
          <w:sz w:val="24"/>
        </w:rPr>
        <w:t>processing</w:t>
      </w:r>
      <w:proofErr w:type="spellEnd"/>
      <w:r>
        <w:rPr>
          <w:rFonts w:ascii="Times New Roman" w:hAnsi="Times New Roman"/>
          <w:sz w:val="24"/>
        </w:rPr>
        <w:t xml:space="preserve"> </w:t>
      </w:r>
      <w:proofErr w:type="spellStart"/>
      <w:r>
        <w:rPr>
          <w:rFonts w:ascii="Times New Roman" w:hAnsi="Times New Roman"/>
          <w:sz w:val="24"/>
        </w:rPr>
        <w:t>data</w:t>
      </w:r>
      <w:proofErr w:type="spellEnd"/>
      <w:r>
        <w:rPr>
          <w:rFonts w:ascii="Times New Roman" w:hAnsi="Times New Roman"/>
          <w:sz w:val="24"/>
        </w:rPr>
        <w:t xml:space="preserve"> </w:t>
      </w:r>
      <w:proofErr w:type="spellStart"/>
      <w:r>
        <w:rPr>
          <w:rFonts w:ascii="Times New Roman" w:hAnsi="Times New Roman"/>
          <w:sz w:val="24"/>
        </w:rPr>
        <w:t>filtering</w:t>
      </w:r>
      <w:proofErr w:type="spellEnd"/>
      <w:r>
        <w:rPr>
          <w:rFonts w:ascii="Times New Roman" w:hAnsi="Times New Roman"/>
          <w:sz w:val="24"/>
        </w:rPr>
        <w:t xml:space="preserve"> </w:t>
      </w:r>
      <w:proofErr w:type="spellStart"/>
      <w:r>
        <w:rPr>
          <w:rFonts w:ascii="Times New Roman" w:hAnsi="Times New Roman"/>
          <w:sz w:val="24"/>
        </w:rPr>
        <w:t>requests</w:t>
      </w:r>
      <w:proofErr w:type="spellEnd"/>
      <w:r>
        <w:rPr>
          <w:rFonts w:ascii="Times New Roman" w:hAnsi="Times New Roman"/>
          <w:sz w:val="24"/>
        </w:rPr>
        <w:t>.</w:t>
      </w:r>
    </w:p>
    <w:p w14:paraId="4209B9F5" w14:textId="77777777" w:rsidR="00EA53A5" w:rsidRPr="009D47F0" w:rsidRDefault="00221861" w:rsidP="00EA53A5">
      <w:pPr>
        <w:ind w:left="0" w:hanging="2"/>
        <w:jc w:val="both"/>
        <w:rPr>
          <w:lang w:val="en-US"/>
        </w:rPr>
      </w:pPr>
      <w:r w:rsidRPr="009D47F0">
        <w:rPr>
          <w:b/>
          <w:bCs/>
          <w:lang w:val="en-US"/>
        </w:rPr>
        <w:t xml:space="preserve">OBJECTIVE AND </w:t>
      </w:r>
      <w:r w:rsidRPr="009D47F0">
        <w:rPr>
          <w:b/>
          <w:lang w:val="en-US"/>
        </w:rPr>
        <w:t xml:space="preserve">PURPOSE OF THE INVENTION: </w:t>
      </w:r>
    </w:p>
    <w:p w14:paraId="0A2FBD88" w14:textId="77777777" w:rsidR="00EA53A5" w:rsidRDefault="00221861" w:rsidP="00EA53A5">
      <w:pPr>
        <w:ind w:left="0" w:hanging="2"/>
        <w:jc w:val="both"/>
        <w:rPr>
          <w:lang w:val="en-US"/>
        </w:rPr>
      </w:pPr>
      <w:r w:rsidRPr="009D47F0">
        <w:rPr>
          <w:lang w:val="en-US"/>
        </w:rPr>
        <w:t xml:space="preserve">The objective of the invention is to substantially improve cancer forecasting. </w:t>
      </w:r>
    </w:p>
    <w:p w14:paraId="6486AF7E" w14:textId="77777777" w:rsidR="00EA53A5" w:rsidRPr="009D47F0" w:rsidRDefault="00EA53A5" w:rsidP="00EA53A5">
      <w:pPr>
        <w:ind w:left="0" w:hanging="2"/>
        <w:jc w:val="both"/>
        <w:rPr>
          <w:lang w:val="en-US"/>
        </w:rPr>
      </w:pPr>
    </w:p>
    <w:p w14:paraId="1E07719B" w14:textId="77777777" w:rsidR="00EA53A5" w:rsidRPr="009D47F0" w:rsidRDefault="00221861" w:rsidP="00EA53A5">
      <w:pPr>
        <w:ind w:left="0" w:hanging="2"/>
        <w:jc w:val="both"/>
        <w:rPr>
          <w:b/>
          <w:lang w:val="en-US"/>
        </w:rPr>
      </w:pPr>
      <w:r w:rsidRPr="009D47F0">
        <w:rPr>
          <w:b/>
          <w:lang w:val="en-US"/>
        </w:rPr>
        <w:t>PROTECTION OF INTELLECTUAL PROPERTY:</w:t>
      </w:r>
    </w:p>
    <w:p w14:paraId="1E9E1250" w14:textId="77777777" w:rsidR="00EA53A5" w:rsidRPr="009D47F0" w:rsidRDefault="00221861" w:rsidP="00EA53A5">
      <w:pPr>
        <w:tabs>
          <w:tab w:val="left" w:pos="567"/>
        </w:tabs>
        <w:spacing w:line="240" w:lineRule="auto"/>
        <w:ind w:left="0" w:hanging="2"/>
        <w:jc w:val="both"/>
        <w:rPr>
          <w:lang w:val="en-US"/>
        </w:rPr>
      </w:pPr>
      <w:r w:rsidRPr="009D47F0">
        <w:rPr>
          <w:lang w:val="en-US"/>
        </w:rPr>
        <w:t xml:space="preserve">The know-how is expressed in writing as a description that includes novel and unpublished methods, scenarios and schemes for a cloud-based cancer diagnosis. The know-how contains detailed descriptions, schemes, drawings and program codes. </w:t>
      </w:r>
    </w:p>
    <w:p w14:paraId="31315A16" w14:textId="77777777" w:rsidR="00EA53A5" w:rsidRPr="009D47F0" w:rsidRDefault="00EA53A5" w:rsidP="00EA53A5">
      <w:pPr>
        <w:tabs>
          <w:tab w:val="left" w:pos="567"/>
        </w:tabs>
        <w:spacing w:line="240" w:lineRule="auto"/>
        <w:ind w:left="0" w:hanging="2"/>
        <w:jc w:val="both"/>
        <w:rPr>
          <w:lang w:val="en-US"/>
        </w:rPr>
      </w:pPr>
    </w:p>
    <w:p w14:paraId="4D59BB5C" w14:textId="77777777" w:rsidR="00EA53A5" w:rsidRPr="00E05ADA" w:rsidRDefault="00221861" w:rsidP="00EA53A5">
      <w:pPr>
        <w:ind w:left="0" w:hanging="2"/>
        <w:jc w:val="both"/>
        <w:rPr>
          <w:b/>
        </w:rPr>
      </w:pPr>
      <w:r>
        <w:rPr>
          <w:b/>
        </w:rPr>
        <w:t>ADDITIONAL INFO</w:t>
      </w:r>
      <w:r>
        <w:rPr>
          <w:b/>
        </w:rPr>
        <w:t>RMATION:</w:t>
      </w:r>
    </w:p>
    <w:p w14:paraId="06758933" w14:textId="77777777" w:rsidR="00EA53A5" w:rsidRPr="009D47F0" w:rsidRDefault="00221861" w:rsidP="00EA53A5">
      <w:pPr>
        <w:pStyle w:val="ListParagraph"/>
        <w:numPr>
          <w:ilvl w:val="0"/>
          <w:numId w:val="2"/>
        </w:numPr>
        <w:spacing w:after="200" w:line="276" w:lineRule="auto"/>
        <w:ind w:left="0" w:hanging="2"/>
        <w:jc w:val="both"/>
        <w:rPr>
          <w:rFonts w:ascii="Times New Roman" w:hAnsi="Times New Roman" w:cs="Times New Roman"/>
          <w:bCs/>
          <w:sz w:val="24"/>
          <w:szCs w:val="24"/>
          <w:lang w:val="en-US"/>
        </w:rPr>
      </w:pPr>
      <w:r w:rsidRPr="009D47F0">
        <w:rPr>
          <w:rFonts w:ascii="Times New Roman" w:hAnsi="Times New Roman"/>
          <w:sz w:val="24"/>
          <w:lang w:val="en-US"/>
        </w:rPr>
        <w:t>Product – data-driven infrastructure for cancer diagnosis.</w:t>
      </w:r>
    </w:p>
    <w:p w14:paraId="661D15A8" w14:textId="77777777" w:rsidR="00EA53A5" w:rsidRPr="009D47F0" w:rsidRDefault="00221861" w:rsidP="00EA53A5">
      <w:pPr>
        <w:pStyle w:val="ListParagraph"/>
        <w:numPr>
          <w:ilvl w:val="0"/>
          <w:numId w:val="2"/>
        </w:numPr>
        <w:spacing w:after="200" w:line="276" w:lineRule="auto"/>
        <w:ind w:left="0" w:hanging="2"/>
        <w:jc w:val="both"/>
        <w:rPr>
          <w:rFonts w:ascii="Times New Roman" w:hAnsi="Times New Roman" w:cs="Times New Roman"/>
          <w:bCs/>
          <w:sz w:val="24"/>
          <w:szCs w:val="24"/>
          <w:lang w:val="en-US"/>
        </w:rPr>
      </w:pPr>
      <w:r w:rsidRPr="009D47F0">
        <w:rPr>
          <w:rFonts w:ascii="Times New Roman" w:hAnsi="Times New Roman"/>
          <w:sz w:val="24"/>
          <w:lang w:val="en-US"/>
        </w:rPr>
        <w:t>The cost of mass production of a single product starts at 500 Eur.</w:t>
      </w:r>
    </w:p>
    <w:p w14:paraId="04D4CDB7" w14:textId="77777777" w:rsidR="00EA53A5" w:rsidRPr="009D47F0" w:rsidRDefault="00221861" w:rsidP="00EA53A5">
      <w:pPr>
        <w:ind w:left="0" w:hanging="2"/>
        <w:jc w:val="both"/>
        <w:rPr>
          <w:lang w:val="en-US"/>
        </w:rPr>
      </w:pPr>
      <w:r w:rsidRPr="009D47F0">
        <w:rPr>
          <w:b/>
          <w:bCs/>
          <w:lang w:val="en-US"/>
        </w:rPr>
        <w:t>INTELLECTUAL PROPERTY DOCUMENTATION</w:t>
      </w:r>
      <w:r w:rsidRPr="009D47F0">
        <w:rPr>
          <w:b/>
          <w:lang w:val="en-US"/>
        </w:rPr>
        <w:t xml:space="preserve"> </w:t>
      </w:r>
      <w:r w:rsidRPr="009D47F0">
        <w:rPr>
          <w:lang w:val="en-US"/>
        </w:rPr>
        <w:t>comprising:</w:t>
      </w:r>
    </w:p>
    <w:p w14:paraId="72E4865F" w14:textId="77777777" w:rsidR="00EA53A5" w:rsidRPr="009D47F0" w:rsidRDefault="00221861" w:rsidP="00EA53A5">
      <w:pPr>
        <w:ind w:left="0" w:hanging="2"/>
        <w:jc w:val="both"/>
        <w:rPr>
          <w:lang w:val="en-US"/>
        </w:rPr>
      </w:pPr>
      <w:r w:rsidRPr="009D47F0">
        <w:rPr>
          <w:lang w:val="en-US"/>
        </w:rPr>
        <w:t xml:space="preserve">Intellectual property development description, technical </w:t>
      </w:r>
      <w:r w:rsidRPr="009D47F0">
        <w:rPr>
          <w:lang w:val="en-US"/>
        </w:rPr>
        <w:t>documentation, schemes, drawings, program codes.</w:t>
      </w:r>
    </w:p>
    <w:p w14:paraId="4403E0C0" w14:textId="77777777" w:rsidR="00EA53A5" w:rsidRDefault="00EA53A5" w:rsidP="00EA53A5">
      <w:pPr>
        <w:ind w:left="0" w:hanging="2"/>
        <w:rPr>
          <w:lang w:val="en-US"/>
        </w:rPr>
      </w:pPr>
    </w:p>
    <w:p w14:paraId="63D1F180" w14:textId="77777777" w:rsidR="00EA53A5" w:rsidRDefault="00EA53A5" w:rsidP="00EA53A5">
      <w:pPr>
        <w:spacing w:line="240" w:lineRule="auto"/>
        <w:ind w:left="0" w:hanging="2"/>
        <w:jc w:val="right"/>
        <w:rPr>
          <w:b/>
          <w:iCs/>
          <w:lang w:val="en-GB"/>
        </w:rPr>
      </w:pPr>
    </w:p>
    <w:p w14:paraId="082AADD8" w14:textId="77777777" w:rsidR="00EF562A" w:rsidRDefault="00EF562A" w:rsidP="00EA53A5">
      <w:pPr>
        <w:spacing w:line="240" w:lineRule="auto"/>
        <w:ind w:left="0" w:hanging="2"/>
        <w:jc w:val="right"/>
        <w:rPr>
          <w:b/>
          <w:iCs/>
          <w:lang w:val="en-GB"/>
        </w:rPr>
      </w:pPr>
    </w:p>
    <w:p w14:paraId="685BF1FC" w14:textId="77777777" w:rsidR="00EF562A" w:rsidRDefault="00EF562A" w:rsidP="00EA53A5">
      <w:pPr>
        <w:spacing w:line="240" w:lineRule="auto"/>
        <w:ind w:left="0" w:hanging="2"/>
        <w:jc w:val="right"/>
        <w:rPr>
          <w:b/>
          <w:iCs/>
          <w:lang w:val="en-GB"/>
        </w:rPr>
      </w:pPr>
    </w:p>
    <w:p w14:paraId="2A5F4B6E" w14:textId="77777777" w:rsidR="00EF562A" w:rsidRDefault="00EF562A" w:rsidP="00EA53A5">
      <w:pPr>
        <w:spacing w:line="240" w:lineRule="auto"/>
        <w:ind w:left="0" w:hanging="2"/>
        <w:jc w:val="right"/>
        <w:rPr>
          <w:b/>
          <w:iCs/>
          <w:lang w:val="en-GB"/>
        </w:rPr>
      </w:pPr>
    </w:p>
    <w:p w14:paraId="24DD909B" w14:textId="77777777" w:rsidR="00EF562A" w:rsidRDefault="00EF562A" w:rsidP="00EA53A5">
      <w:pPr>
        <w:spacing w:line="240" w:lineRule="auto"/>
        <w:ind w:left="0" w:hanging="2"/>
        <w:jc w:val="right"/>
        <w:rPr>
          <w:b/>
          <w:iCs/>
          <w:lang w:val="en-GB"/>
        </w:rPr>
      </w:pPr>
    </w:p>
    <w:p w14:paraId="63015563" w14:textId="77777777" w:rsidR="00EF562A" w:rsidRDefault="00EF562A" w:rsidP="00EA53A5">
      <w:pPr>
        <w:spacing w:line="240" w:lineRule="auto"/>
        <w:ind w:left="0" w:hanging="2"/>
        <w:jc w:val="right"/>
        <w:rPr>
          <w:b/>
          <w:iCs/>
          <w:lang w:val="en-GB"/>
        </w:rPr>
      </w:pPr>
    </w:p>
    <w:p w14:paraId="453590F4" w14:textId="77777777" w:rsidR="00EF562A" w:rsidRDefault="00EF562A" w:rsidP="00EA53A5">
      <w:pPr>
        <w:spacing w:line="240" w:lineRule="auto"/>
        <w:ind w:left="0" w:hanging="2"/>
        <w:jc w:val="right"/>
        <w:rPr>
          <w:b/>
          <w:iCs/>
          <w:lang w:val="en-GB"/>
        </w:rPr>
      </w:pPr>
    </w:p>
    <w:p w14:paraId="3306C040" w14:textId="77777777" w:rsidR="00EF562A" w:rsidRDefault="00EF562A" w:rsidP="00EA53A5">
      <w:pPr>
        <w:spacing w:line="240" w:lineRule="auto"/>
        <w:ind w:left="0" w:hanging="2"/>
        <w:jc w:val="right"/>
        <w:rPr>
          <w:b/>
          <w:iCs/>
          <w:lang w:val="en-GB"/>
        </w:rPr>
      </w:pPr>
    </w:p>
    <w:p w14:paraId="5EF750D6" w14:textId="77777777" w:rsidR="00627AFE" w:rsidRDefault="00627AFE" w:rsidP="00221861">
      <w:pPr>
        <w:ind w:leftChars="0" w:left="0" w:firstLineChars="0" w:firstLine="0"/>
      </w:pPr>
    </w:p>
    <w:sectPr w:rsidR="00627AFE" w:rsidSect="00EF562A">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E00002AF" w:usb1="5000607B"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547A0"/>
    <w:multiLevelType w:val="multilevel"/>
    <w:tmpl w:val="461ABEE6"/>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0F41C08"/>
    <w:multiLevelType w:val="hybridMultilevel"/>
    <w:tmpl w:val="18FE3E90"/>
    <w:lvl w:ilvl="0" w:tplc="89CA8AA6">
      <w:start w:val="1"/>
      <w:numFmt w:val="bullet"/>
      <w:lvlText w:val=""/>
      <w:lvlJc w:val="left"/>
      <w:pPr>
        <w:ind w:left="720" w:hanging="360"/>
      </w:pPr>
      <w:rPr>
        <w:rFonts w:ascii="Symbol" w:hAnsi="Symbol" w:hint="default"/>
      </w:rPr>
    </w:lvl>
    <w:lvl w:ilvl="1" w:tplc="7BEA5D56" w:tentative="1">
      <w:start w:val="1"/>
      <w:numFmt w:val="bullet"/>
      <w:lvlText w:val="o"/>
      <w:lvlJc w:val="left"/>
      <w:pPr>
        <w:ind w:left="1440" w:hanging="360"/>
      </w:pPr>
      <w:rPr>
        <w:rFonts w:ascii="Courier New" w:hAnsi="Courier New" w:cs="Courier New" w:hint="default"/>
      </w:rPr>
    </w:lvl>
    <w:lvl w:ilvl="2" w:tplc="3F90EBE8" w:tentative="1">
      <w:start w:val="1"/>
      <w:numFmt w:val="bullet"/>
      <w:lvlText w:val=""/>
      <w:lvlJc w:val="left"/>
      <w:pPr>
        <w:ind w:left="2160" w:hanging="360"/>
      </w:pPr>
      <w:rPr>
        <w:rFonts w:ascii="Wingdings" w:hAnsi="Wingdings" w:hint="default"/>
      </w:rPr>
    </w:lvl>
    <w:lvl w:ilvl="3" w:tplc="D67E30EE" w:tentative="1">
      <w:start w:val="1"/>
      <w:numFmt w:val="bullet"/>
      <w:lvlText w:val=""/>
      <w:lvlJc w:val="left"/>
      <w:pPr>
        <w:ind w:left="2880" w:hanging="360"/>
      </w:pPr>
      <w:rPr>
        <w:rFonts w:ascii="Symbol" w:hAnsi="Symbol" w:hint="default"/>
      </w:rPr>
    </w:lvl>
    <w:lvl w:ilvl="4" w:tplc="61E29DC4" w:tentative="1">
      <w:start w:val="1"/>
      <w:numFmt w:val="bullet"/>
      <w:lvlText w:val="o"/>
      <w:lvlJc w:val="left"/>
      <w:pPr>
        <w:ind w:left="3600" w:hanging="360"/>
      </w:pPr>
      <w:rPr>
        <w:rFonts w:ascii="Courier New" w:hAnsi="Courier New" w:cs="Courier New" w:hint="default"/>
      </w:rPr>
    </w:lvl>
    <w:lvl w:ilvl="5" w:tplc="F35EF886" w:tentative="1">
      <w:start w:val="1"/>
      <w:numFmt w:val="bullet"/>
      <w:lvlText w:val=""/>
      <w:lvlJc w:val="left"/>
      <w:pPr>
        <w:ind w:left="4320" w:hanging="360"/>
      </w:pPr>
      <w:rPr>
        <w:rFonts w:ascii="Wingdings" w:hAnsi="Wingdings" w:hint="default"/>
      </w:rPr>
    </w:lvl>
    <w:lvl w:ilvl="6" w:tplc="BEA696BA" w:tentative="1">
      <w:start w:val="1"/>
      <w:numFmt w:val="bullet"/>
      <w:lvlText w:val=""/>
      <w:lvlJc w:val="left"/>
      <w:pPr>
        <w:ind w:left="5040" w:hanging="360"/>
      </w:pPr>
      <w:rPr>
        <w:rFonts w:ascii="Symbol" w:hAnsi="Symbol" w:hint="default"/>
      </w:rPr>
    </w:lvl>
    <w:lvl w:ilvl="7" w:tplc="D75EE83A" w:tentative="1">
      <w:start w:val="1"/>
      <w:numFmt w:val="bullet"/>
      <w:lvlText w:val="o"/>
      <w:lvlJc w:val="left"/>
      <w:pPr>
        <w:ind w:left="5760" w:hanging="360"/>
      </w:pPr>
      <w:rPr>
        <w:rFonts w:ascii="Courier New" w:hAnsi="Courier New" w:cs="Courier New" w:hint="default"/>
      </w:rPr>
    </w:lvl>
    <w:lvl w:ilvl="8" w:tplc="82902D1C" w:tentative="1">
      <w:start w:val="1"/>
      <w:numFmt w:val="bullet"/>
      <w:lvlText w:val=""/>
      <w:lvlJc w:val="left"/>
      <w:pPr>
        <w:ind w:left="6480" w:hanging="360"/>
      </w:pPr>
      <w:rPr>
        <w:rFonts w:ascii="Wingdings" w:hAnsi="Wingdings" w:hint="default"/>
      </w:rPr>
    </w:lvl>
  </w:abstractNum>
  <w:abstractNum w:abstractNumId="2" w15:restartNumberingAfterBreak="0">
    <w:nsid w:val="4F9A7F09"/>
    <w:multiLevelType w:val="multilevel"/>
    <w:tmpl w:val="A8347490"/>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D9C28EC"/>
    <w:multiLevelType w:val="multilevel"/>
    <w:tmpl w:val="ED0A23A0"/>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0C38B4"/>
    <w:rsid w:val="00105B2C"/>
    <w:rsid w:val="00187718"/>
    <w:rsid w:val="002033C3"/>
    <w:rsid w:val="00221861"/>
    <w:rsid w:val="002721CB"/>
    <w:rsid w:val="00277A61"/>
    <w:rsid w:val="002C082B"/>
    <w:rsid w:val="00395379"/>
    <w:rsid w:val="004006F2"/>
    <w:rsid w:val="00571FAB"/>
    <w:rsid w:val="00627AFE"/>
    <w:rsid w:val="00691B4A"/>
    <w:rsid w:val="006A09D4"/>
    <w:rsid w:val="007E37E2"/>
    <w:rsid w:val="008A3EF3"/>
    <w:rsid w:val="00915D75"/>
    <w:rsid w:val="009D47F0"/>
    <w:rsid w:val="00B10CC6"/>
    <w:rsid w:val="00B73666"/>
    <w:rsid w:val="00B76673"/>
    <w:rsid w:val="00BB2127"/>
    <w:rsid w:val="00C67CF7"/>
    <w:rsid w:val="00E05ADA"/>
    <w:rsid w:val="00EA53A5"/>
    <w:rsid w:val="00EE63F2"/>
    <w:rsid w:val="00EF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637D"/>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3A5"/>
    <w:rPr>
      <w:color w:val="0563C1" w:themeColor="hyperlink"/>
      <w:u w:val="single"/>
    </w:rPr>
  </w:style>
  <w:style w:type="table" w:styleId="TableGrid">
    <w:name w:val="Table Grid"/>
    <w:basedOn w:val="TableNormal"/>
    <w:uiPriority w:val="39"/>
    <w:rsid w:val="00EA53A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A53A5"/>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gne.balina@l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gne.balina@lu.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4987</Words>
  <Characters>2843</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Olga Dmitrijeva</cp:lastModifiedBy>
  <cp:revision>2</cp:revision>
  <dcterms:created xsi:type="dcterms:W3CDTF">2022-12-02T10:22:00Z</dcterms:created>
  <dcterms:modified xsi:type="dcterms:W3CDTF">2022-12-02T10:22:00Z</dcterms:modified>
</cp:coreProperties>
</file>